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hart1.xml" ContentType="application/vnd.openxmlformats-officedocument.drawingml.chart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>
      <w:pPr>
        <w:pStyle w:val="Heading1"/>
        <w:spacing w:before="0" w:after="80" w:line="276" w:lineRule="auto"/>
        <w:rPr/>
      </w:pPr>
      <w:r>
        <w:rPr>
          <w:rFonts w:ascii="Arial" w:hAnsi="Arial" w:eastAsia="Arial" w:cs="Arial"/>
          <w:b/>
          <w:color w:val="2C3E50"/>
          <w:sz w:val="48"/>
        </w:rPr>
        <w:t xml:space="preserve">SelectPdf Sample Document</w:t>
      </w:r>
    </w:p>
    <w:p>
      <w:pPr>
        <w:spacing w:before="0" w:after="360" w:line="276" w:lineRule="auto"/>
        <w:rPr/>
      </w:pPr>
      <w:r>
        <w:rPr>
          <w:rFonts w:ascii="Arial" w:hAnsi="Arial" w:eastAsia="Arial" w:cs="Arial"/>
          <w:b w:val="0"/>
          <w:color w:val="5A5A5A"/>
          <w:sz w:val="24"/>
        </w:rPr>
        <w:t xml:space="preserve">A short report converted by the SelectPdf Word to Pdf sample</w:t>
      </w:r>
    </w:p>
    <w:p>
      <w:pPr>
        <w:spacing w:before="0" w:after="160" w:line="276" w:lineRule="auto"/>
        <w:rPr/>
      </w:pPr>
      <w:r>
        <w:rPr>
          <w:rFonts w:ascii="Arial" w:hAnsi="Arial" w:eastAsia="Arial" w:cs="Arial"/>
          <w:b w:val="0"/>
          <w:color w:val="000000"/>
          <w:sz w:val="22"/>
        </w:rPr>
        <w:t xml:space="preserve">This Word document ships with the SelectPdf samples. It carries headings, a table, a list, a chart and two links - an external one to </w:t>
      </w:r>
      <w:r>
        <w:rPr>
          <w:rFonts w:ascii="Arial" w:hAnsi="Arial" w:eastAsia="Arial" w:cs="Arial"/>
          <w:sz w:val="22"/>
        </w:rPr>
        <w:fldChar w:fldCharType="begin"/>
      </w:r>
      <w:r>
        <w:rPr>
          <w:rFonts w:ascii="Arial" w:hAnsi="Arial" w:eastAsia="Arial" w:cs="Arial"/>
          <w:sz w:val="22"/>
        </w:rPr>
        <w:instrText xml:space="preserve">HYPERLINK "https://selectpdf.com/" </w:instrText>
      </w:r>
      <w:r>
        <w:rPr/>
        <w:fldChar w:fldCharType="separate"/>
      </w:r>
      <w:r>
        <w:rPr>
          <w:rStyle w:val="Hyperlink"/>
          <w:rFonts w:ascii="Arial" w:hAnsi="Arial" w:eastAsia="Arial" w:cs="Arial"/>
          <w:sz w:val="22"/>
        </w:rPr>
        <w:t xml:space="preserve">selectpdf.com</w:t>
      </w:r>
      <w:r>
        <w:rPr/>
        <w:fldChar w:fldCharType="end"/>
      </w:r>
      <w:r>
        <w:rPr>
          <w:rFonts w:ascii="Arial" w:hAnsi="Arial" w:eastAsia="Arial" w:cs="Arial"/>
          <w:sz w:val="22"/>
        </w:rPr>
        <w:t xml:space="preserve"> and an internal one that lets you </w:t>
      </w:r>
      <w:r>
        <w:rPr>
          <w:rFonts w:ascii="Arial" w:hAnsi="Arial" w:eastAsia="Arial" w:cs="Arial"/>
          <w:sz w:val="22"/>
        </w:rPr>
        <w:fldChar w:fldCharType="begin"/>
      </w:r>
      <w:r>
        <w:rPr>
          <w:rFonts w:ascii="Arial" w:hAnsi="Arial" w:eastAsia="Arial" w:cs="Arial"/>
          <w:sz w:val="22"/>
        </w:rPr>
        <w:instrText xml:space="preserve">HYPERLINK \l "Conclusion"</w:instrText>
      </w:r>
      <w:r>
        <w:rPr/>
        <w:fldChar w:fldCharType="separate"/>
      </w:r>
      <w:r>
        <w:rPr>
          <w:rStyle w:val="Hyperlink"/>
          <w:rFonts w:ascii="Arial" w:hAnsi="Arial" w:eastAsia="Arial" w:cs="Arial"/>
          <w:sz w:val="22"/>
        </w:rPr>
        <w:t xml:space="preserve">jump to the conclusion</w:t>
      </w:r>
      <w:r>
        <w:rPr/>
        <w:fldChar w:fldCharType="end"/>
      </w:r>
      <w:r>
        <w:rPr>
          <w:rFonts w:ascii="Arial" w:hAnsi="Arial" w:eastAsia="Arial" w:cs="Arial"/>
          <w:sz w:val="22"/>
        </w:rPr>
        <w:t xml:space="preserve"> - so the converted pdf shows how each of them comes across.</w:t>
      </w:r>
    </w:p>
    <w:p>
      <w:pPr>
        <w:pStyle w:val="Heading2"/>
        <w:spacing w:before="280" w:after="200" w:line="276" w:lineRule="auto"/>
        <w:rPr/>
      </w:pPr>
      <w:r>
        <w:rPr>
          <w:rFonts w:ascii="Arial" w:hAnsi="Arial" w:eastAsia="Arial" w:cs="Arial"/>
          <w:b/>
          <w:color w:val="2C3E50"/>
          <w:sz w:val="30"/>
        </w:rPr>
        <w:t xml:space="preserve">Quarterly figures</w:t>
      </w:r>
    </w:p>
    <w:p>
      <w:pPr>
        <w:spacing w:before="0" w:after="160" w:line="276" w:lineRule="auto"/>
        <w:rPr/>
      </w:pPr>
      <w:r>
        <w:rPr>
          <w:rFonts w:ascii="Arial" w:hAnsi="Arial" w:eastAsia="Arial" w:cs="Arial"/>
          <w:b w:val="0"/>
          <w:color w:val="000000"/>
          <w:sz w:val="22"/>
        </w:rPr>
        <w:t xml:space="preserve">The table below lists the figures of the first three quarters. The converter keeps its borders, shading and cell padding.</w:t>
      </w:r>
    </w:p>
    <w:tbl>
      <w:tblPr>
        <w:tblStyle w:val="TableGrid"/>
        <w:tblBorders>
          <w:top w:val="single" w:color="BEBEBE" w:sz="6" w:space="0"/>
          <w:left w:val="single" w:color="BEBEBE" w:sz="6" w:space="0"/>
          <w:bottom w:val="single" w:color="BEBEBE" w:sz="6" w:space="0"/>
          <w:right w:val="single" w:color="BEBEBE" w:sz="6" w:space="0"/>
          <w:insideH w:val="single" w:color="auto" w:sz="4" w:space="0"/>
          <w:insideV w:val="single" w:color="auto" w:sz="4" w:space="0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>
        <w:trPr/>
        <w:tc>
          <w:tcPr>
            <w:tcW w:type="dxa" w:w="3120"/>
            <w:tcBorders/>
            <w:shd w:fill="E8EDF2" w:color="auto" w:val="clear"/>
          </w:tcPr>
          <w:p>
            <w:pPr>
              <w:spacing w:after="0"/>
              <w:rPr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 xml:space="preserve">Region</w:t>
            </w:r>
          </w:p>
        </w:tc>
        <w:tc>
          <w:tcPr>
            <w:tcW w:type="dxa" w:w="3120"/>
            <w:tcBorders/>
            <w:shd w:fill="E8EDF2" w:color="auto" w:val="clear"/>
          </w:tcPr>
          <w:p>
            <w:pPr>
              <w:spacing w:after="0"/>
              <w:jc w:val="right"/>
              <w:rPr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 xml:space="preserve">Documents converted</w:t>
            </w:r>
          </w:p>
        </w:tc>
        <w:tc>
          <w:tcPr>
            <w:tcW w:type="dxa" w:w="3120"/>
            <w:tcBorders/>
            <w:shd w:fill="E8EDF2" w:color="auto" w:val="clear"/>
          </w:tcPr>
          <w:p>
            <w:pPr>
              <w:spacing w:after="0"/>
              <w:jc w:val="right"/>
              <w:rPr/>
            </w:pPr>
            <w:r>
              <w:rPr>
                <w:rFonts w:ascii="Arial" w:hAnsi="Arial" w:eastAsia="Arial" w:cs="Arial"/>
                <w:b/>
                <w:color w:val="000000"/>
                <w:sz w:val="21"/>
              </w:rPr>
              <w:t xml:space="preserve">Growth</w:t>
            </w:r>
          </w:p>
        </w:tc>
      </w:tr>
      <w:tr>
        <w:trPr/>
        <w:tc>
          <w:tcPr>
            <w:tcW w:type="dxa" w:w="3120"/>
            <w:tcBorders/>
          </w:tcPr>
          <w:p>
            <w:pPr>
              <w:spacing w:after="0"/>
              <w:rPr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  <w:t xml:space="preserve">Europe</w:t>
            </w:r>
          </w:p>
        </w:tc>
        <w:tc>
          <w:tcPr>
            <w:tcW w:type="dxa" w:w="3120"/>
            <w:tcBorders/>
          </w:tcPr>
          <w:p>
            <w:pPr>
              <w:spacing w:after="0"/>
              <w:jc w:val="right"/>
              <w:rPr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  <w:t xml:space="preserve">1,240,500</w:t>
            </w:r>
          </w:p>
        </w:tc>
        <w:tc>
          <w:tcPr>
            <w:tcW w:type="dxa" w:w="3120"/>
            <w:tcBorders/>
          </w:tcPr>
          <w:p>
            <w:pPr>
              <w:spacing w:after="0"/>
              <w:jc w:val="right"/>
              <w:rPr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  <w:t xml:space="preserve">+12%</w:t>
            </w:r>
          </w:p>
        </w:tc>
      </w:tr>
      <w:tr>
        <w:trPr/>
        <w:tc>
          <w:tcPr>
            <w:tcW w:type="dxa" w:w="3120"/>
            <w:tcBorders/>
          </w:tcPr>
          <w:p>
            <w:pPr>
              <w:spacing w:after="0"/>
              <w:rPr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  <w:t xml:space="preserve">North America</w:t>
            </w:r>
          </w:p>
        </w:tc>
        <w:tc>
          <w:tcPr>
            <w:tcW w:type="dxa" w:w="3120"/>
            <w:tcBorders/>
          </w:tcPr>
          <w:p>
            <w:pPr>
              <w:spacing w:after="0"/>
              <w:jc w:val="right"/>
              <w:rPr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  <w:t xml:space="preserve">980,300</w:t>
            </w:r>
          </w:p>
        </w:tc>
        <w:tc>
          <w:tcPr>
            <w:tcW w:type="dxa" w:w="3120"/>
            <w:tcBorders/>
          </w:tcPr>
          <w:p>
            <w:pPr>
              <w:spacing w:after="0"/>
              <w:jc w:val="right"/>
              <w:rPr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  <w:t xml:space="preserve">+9%</w:t>
            </w:r>
          </w:p>
        </w:tc>
      </w:tr>
      <w:tr>
        <w:trPr/>
        <w:tc>
          <w:tcPr>
            <w:tcW w:type="dxa" w:w="3120"/>
            <w:tcBorders/>
          </w:tcPr>
          <w:p>
            <w:pPr>
              <w:spacing w:after="0"/>
              <w:rPr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  <w:t xml:space="preserve">Asia Pacific</w:t>
            </w:r>
          </w:p>
        </w:tc>
        <w:tc>
          <w:tcPr>
            <w:tcW w:type="dxa" w:w="3120"/>
            <w:tcBorders/>
          </w:tcPr>
          <w:p>
            <w:pPr>
              <w:spacing w:after="0"/>
              <w:jc w:val="right"/>
              <w:rPr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  <w:t xml:space="preserve">615,800</w:t>
            </w:r>
          </w:p>
        </w:tc>
        <w:tc>
          <w:tcPr>
            <w:tcW w:type="dxa" w:w="3120"/>
            <w:tcBorders/>
          </w:tcPr>
          <w:p>
            <w:pPr>
              <w:spacing w:after="0"/>
              <w:jc w:val="right"/>
              <w:rPr/>
            </w:pPr>
            <w:r>
              <w:rPr>
                <w:rFonts w:ascii="Arial" w:hAnsi="Arial" w:eastAsia="Arial" w:cs="Arial"/>
                <w:b w:val="0"/>
                <w:color w:val="000000"/>
                <w:sz w:val="21"/>
              </w:rPr>
              <w:t xml:space="preserve">+21%</w:t>
            </w:r>
          </w:p>
        </w:tc>
      </w:tr>
    </w:tbl>
    <w:p>
      <w:pPr>
        <w:spacing w:before="0" w:after="0" w:line="276" w:lineRule="auto"/>
        <w:rPr/>
      </w:pPr>
    </w:p>
    <w:p>
      <w:pPr>
        <w:pStyle w:val="Heading2"/>
        <w:spacing w:before="280" w:after="200" w:line="276" w:lineRule="auto"/>
        <w:rPr/>
      </w:pPr>
      <w:r>
        <w:rPr>
          <w:rFonts w:ascii="Arial" w:hAnsi="Arial" w:eastAsia="Arial" w:cs="Arial"/>
          <w:b/>
          <w:color w:val="2C3E50"/>
          <w:sz w:val="30"/>
        </w:rPr>
        <w:t xml:space="preserve">What the conversion keeps</w:t>
      </w:r>
    </w:p>
    <w:p>
      <w:pPr>
        <w:spacing w:before="0" w:after="160" w:line="276" w:lineRule="auto"/>
        <w:rPr/>
      </w:pPr>
      <w:r>
        <w:rPr>
          <w:rFonts w:ascii="Arial" w:hAnsi="Arial" w:eastAsia="Arial" w:cs="Arial"/>
          <w:b w:val="0"/>
          <w:color w:val="000000"/>
          <w:sz w:val="22"/>
        </w:rPr>
        <w:t xml:space="preserve">Everything the Word document lays out reaches the pdf as vector text and graphics:</w:t>
      </w:r>
    </w:p>
    <w:p>
      <w:pPr>
        <w:numPr>
          <w:ilvl w:val="0"/>
          <w:numId w:val="1"/>
        </w:numPr>
        <w:spacing w:before="0" w:after="80" w:line="276" w:lineRule="auto"/>
        <w:rPr/>
      </w:pPr>
      <w:r>
        <w:rPr>
          <w:rFonts w:ascii="Arial" w:hAnsi="Arial" w:eastAsia="Arial" w:cs="Arial"/>
          <w:b w:val="0"/>
          <w:color w:val="000000"/>
          <w:sz w:val="22"/>
        </w:rPr>
        <w:t xml:space="preserve">headings, which also become the bookmarks of the pdf,</w:t>
      </w:r>
    </w:p>
    <w:p>
      <w:pPr>
        <w:numPr>
          <w:ilvl w:val="0"/>
          <w:numId w:val="1"/>
        </w:numPr>
        <w:spacing w:before="0" w:after="80" w:line="276" w:lineRule="auto"/>
        <w:rPr/>
      </w:pPr>
      <w:r>
        <w:rPr>
          <w:rFonts w:ascii="Arial" w:hAnsi="Arial" w:eastAsia="Arial" w:cs="Arial"/>
          <w:b w:val="0"/>
          <w:color w:val="000000"/>
          <w:sz w:val="22"/>
        </w:rPr>
        <w:t xml:space="preserve">links to web pages and to places in the document,</w:t>
      </w:r>
    </w:p>
    <w:p>
      <w:pPr>
        <w:numPr>
          <w:ilvl w:val="0"/>
          <w:numId w:val="1"/>
        </w:numPr>
        <w:spacing w:before="0" w:after="80" w:line="276" w:lineRule="auto"/>
        <w:rPr/>
      </w:pPr>
      <w:r>
        <w:rPr>
          <w:rFonts w:ascii="Arial" w:hAnsi="Arial" w:eastAsia="Arial" w:cs="Arial"/>
          <w:b w:val="0"/>
          <w:color w:val="000000"/>
          <w:sz w:val="22"/>
        </w:rPr>
        <w:t xml:space="preserve">tables with their borders, shading and padding,</w:t>
      </w:r>
    </w:p>
    <w:p>
      <w:pPr>
        <w:numPr>
          <w:ilvl w:val="0"/>
          <w:numId w:val="1"/>
        </w:numPr>
        <w:spacing w:before="0" w:after="80" w:line="276" w:lineRule="auto"/>
        <w:rPr/>
      </w:pPr>
      <w:r>
        <w:rPr>
          <w:rFonts w:ascii="Arial" w:hAnsi="Arial" w:eastAsia="Arial" w:cs="Arial"/>
          <w:b w:val="0"/>
          <w:color w:val="000000"/>
          <w:sz w:val="22"/>
        </w:rPr>
        <w:t xml:space="preserve">charts, pictures and the fonts the document uses.</w:t>
      </w:r>
    </w:p>
    <w:p>
      <w:pPr>
        <w:spacing/>
        <w:rPr/>
      </w:pPr>
      <w:r>
        <w:rPr/>
        <w:br w:type="page"/>
      </w:r>
    </w:p>
    <w:p>
      <w:pPr>
        <w:pStyle w:val="Heading1"/>
        <w:spacing w:before="0" w:after="200" w:line="276" w:lineRule="auto"/>
        <w:rPr/>
      </w:pPr>
      <w:r>
        <w:rPr>
          <w:rFonts w:ascii="Arial" w:hAnsi="Arial" w:eastAsia="Arial" w:cs="Arial"/>
          <w:b/>
          <w:color w:val="2C3E50"/>
          <w:sz w:val="36"/>
        </w:rPr>
        <w:t xml:space="preserve">Second Section</w:t>
      </w:r>
    </w:p>
    <w:p>
      <w:pPr>
        <w:spacing w:before="0" w:after="160" w:line="276" w:lineRule="auto"/>
        <w:rPr/>
      </w:pPr>
      <w:r>
        <w:rPr>
          <w:rFonts w:ascii="Arial" w:hAnsi="Arial" w:eastAsia="Arial" w:cs="Arial"/>
          <w:b w:val="0"/>
          <w:color w:val="000000"/>
          <w:sz w:val="22"/>
        </w:rPr>
        <w:t xml:space="preserve">The chart below is a Word chart. The converter draws it as the document shows it, with its title, axes and legend.</w:t>
      </w:r>
    </w:p>
    <w:p>
      <w:pPr>
        <w:spacing w:before="120" w:after="240" w:line="276" w:lineRule="auto"/>
        <w:jc w:val="center"/>
        <w:rPr/>
      </w:pPr>
      <w:r>
        <w:rPr/>
        <w:drawing>
          <wp:inline>
            <wp:extent cx="5588000" cy="2921000"/>
            <wp:docPr id="1" name="Chart" title=""/>
            <a:graphic xmlns:a="http://schemas.openxmlformats.org/drawingml/2006/main">
              <a:graphicData uri="http://schemas.openxmlformats.org/drawingml/2006/chart">
                <c:chart xmlns:r="http://schemas.openxmlformats.org/officeDocument/2006/relationships" r:id="rId1"/>
              </a:graphicData>
            </a:graphic>
          </wp:inline>
        </w:drawing>
      </w:r>
    </w:p>
    <w:p>
      <w:pPr>
        <w:spacing w:before="0" w:after="160" w:line="276" w:lineRule="auto"/>
        <w:rPr/>
      </w:pPr>
      <w:r>
        <w:rPr>
          <w:rFonts w:ascii="Arial" w:hAnsi="Arial" w:eastAsia="Arial" w:cs="Arial"/>
          <w:b w:val="0"/>
          <w:color w:val="000000"/>
          <w:sz w:val="22"/>
        </w:rPr>
        <w:t xml:space="preserve">Paragraph 1 of the second section. Body text uses 11 point Arial with a little room between the lines and between the paragraphs, the way a report is usually set.</w:t>
      </w:r>
    </w:p>
    <w:p>
      <w:pPr>
        <w:spacing w:before="0" w:after="160" w:line="276" w:lineRule="auto"/>
        <w:rPr/>
      </w:pPr>
      <w:r>
        <w:rPr>
          <w:rFonts w:ascii="Arial" w:hAnsi="Arial" w:eastAsia="Arial" w:cs="Arial"/>
          <w:b w:val="0"/>
          <w:color w:val="000000"/>
          <w:sz w:val="22"/>
        </w:rPr>
        <w:t xml:space="preserve">Paragraph 2 of the second section. Body text uses 11 point Arial with a little room between the lines and between the paragraphs, the way a report is usually set.</w:t>
      </w:r>
    </w:p>
    <w:p>
      <w:pPr>
        <w:spacing w:before="0" w:after="160" w:line="276" w:lineRule="auto"/>
        <w:rPr/>
      </w:pPr>
      <w:r>
        <w:rPr>
          <w:rFonts w:ascii="Arial" w:hAnsi="Arial" w:eastAsia="Arial" w:cs="Arial"/>
          <w:b w:val="0"/>
          <w:color w:val="000000"/>
          <w:sz w:val="22"/>
        </w:rPr>
        <w:t xml:space="preserve">Paragraph 3 of the second section. Body text uses 11 point Arial with a little room between the lines and between the paragraphs, the way a report is usually set.</w:t>
      </w:r>
    </w:p>
    <w:p>
      <w:pPr>
        <w:spacing w:before="0" w:after="160" w:line="276" w:lineRule="auto"/>
        <w:rPr/>
      </w:pPr>
      <w:r>
        <w:rPr>
          <w:rFonts w:ascii="Arial" w:hAnsi="Arial" w:eastAsia="Arial" w:cs="Arial"/>
          <w:b w:val="0"/>
          <w:color w:val="000000"/>
          <w:sz w:val="22"/>
        </w:rPr>
        <w:t xml:space="preserve">Paragraph 4 of the second section. Body text uses 11 point Arial with a little room between the lines and between the paragraphs, the way a report is usually set.</w:t>
      </w:r>
    </w:p>
    <w:p>
      <w:pPr>
        <w:spacing/>
        <w:rPr/>
      </w:pPr>
      <w:r>
        <w:rPr/>
        <w:br w:type="page"/>
      </w:r>
    </w:p>
    <w:p>
      <w:pPr>
        <w:pStyle w:val="Heading1"/>
        <w:spacing w:before="0" w:after="200" w:line="276" w:lineRule="auto"/>
        <w:rPr/>
      </w:pPr>
      <w:bookmarkStart w:id="2" w:name="Conclusion"/>
      <w:r>
        <w:rPr>
          <w:rFonts w:ascii="Arial" w:hAnsi="Arial" w:eastAsia="Arial" w:cs="Arial"/>
          <w:b/>
          <w:color w:val="2C3E50"/>
          <w:sz w:val="36"/>
        </w:rPr>
        <w:t xml:space="preserve">Conclusion</w:t>
      </w:r>
      <w:bookmarkEnd w:id="2"/>
    </w:p>
    <w:p>
      <w:pPr>
        <w:spacing w:before="0" w:after="160" w:line="276" w:lineRule="auto"/>
        <w:rPr/>
      </w:pPr>
      <w:r>
        <w:rPr>
          <w:rFonts w:ascii="Arial" w:hAnsi="Arial" w:eastAsia="Arial" w:cs="Arial"/>
          <w:b w:val="0"/>
          <w:color w:val="000000"/>
          <w:sz w:val="22"/>
        </w:rPr>
        <w:t xml:space="preserve">This is the page the internal link on the first page leads to. In the converted pdf the link keeps working: it takes you to this heading.</w:t>
      </w:r>
    </w:p>
    <w:p>
      <w:pPr>
        <w:spacing w:before="0" w:after="160" w:line="276" w:lineRule="auto"/>
        <w:rPr/>
      </w:pPr>
      <w:r>
        <w:rPr>
          <w:rFonts w:ascii="Arial" w:hAnsi="Arial" w:eastAsia="Arial" w:cs="Arial"/>
          <w:b w:val="0"/>
          <w:color w:val="000000"/>
          <w:sz w:val="22"/>
        </w:rPr>
        <w:t xml:space="preserve">Convert your own document with the form of the sample page to see how it comes across.</w:t>
      </w:r>
    </w:p>
    <w:sectPr>
      <w:type w:val="nextPage"/>
      <w:pgSz w:w="12240" w:h="15840"/>
      <w:pgMar w:top="1440" w:right="1440" w:bottom="1440" w:left="1440" w:gutter="0"/>
      <w:pgBorders/>
      <w:pgNumType w:fmt="decimal"/>
      <w:cols w:equalWidth="1" w:space="720"/>
    </w:sectPr>
  </w:body>
</w:document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78C82E"/>
    <w:lvl w:ilvl="0">
      <w:start w:val="1"/>
      <w:numFmt w:val="bullet"/>
      <w:suff w:val="tab"/>
      <w:lvlText w:val=""/>
      <w:pPr>
        <w:spacing/>
        <w:ind w:left="720"/>
      </w:pPr>
      <w:rPr>
        <w:rFonts w:ascii="Symbol" w:hAnsi="Symbol" w:eastAsia="Symbol" w:cs="Symbol"/>
      </w:rPr>
    </w:lvl>
    <w:lvl w:ilvl="1">
      <w:start w:val="1"/>
      <w:numFmt w:val="bullet"/>
      <w:suff w:val="tab"/>
      <w:lvlText w:val="o"/>
      <w:pPr>
        <w:spacing/>
        <w:ind w:left="1440"/>
      </w:pPr>
      <w:rPr>
        <w:rFonts w:ascii="Courier New" w:hAnsi="Courier New" w:eastAsia="Courier New" w:cs="Courier New"/>
      </w:rPr>
    </w:lvl>
    <w:lvl w:ilvl="2">
      <w:start w:val="1"/>
      <w:numFmt w:val="bullet"/>
      <w:suff w:val="tab"/>
      <w:lvlText w:val=""/>
      <w:pPr>
        <w:spacing/>
        <w:ind w:left="2160"/>
      </w:pPr>
      <w:rPr>
        <w:rFonts w:ascii="Wingdings" w:hAnsi="Wingdings" w:eastAsia="Wingdings" w:cs="Wingdings"/>
      </w:rPr>
    </w:lvl>
    <w:lvl w:ilvl="3">
      <w:start w:val="1"/>
      <w:numFmt w:val="bullet"/>
      <w:suff w:val="tab"/>
      <w:lvlText w:val=""/>
      <w:pPr>
        <w:spacing/>
        <w:ind w:left="2880"/>
      </w:pPr>
      <w:rPr>
        <w:rFonts w:ascii="Symbol" w:hAnsi="Symbol" w:eastAsia="Symbol" w:cs="Symbol"/>
      </w:rPr>
    </w:lvl>
    <w:lvl w:ilvl="4">
      <w:start w:val="1"/>
      <w:numFmt w:val="bullet"/>
      <w:suff w:val="tab"/>
      <w:lvlText w:val="o"/>
      <w:pPr>
        <w:spacing/>
        <w:ind w:left="3600"/>
      </w:pPr>
      <w:rPr>
        <w:rFonts w:ascii="Courier New" w:hAnsi="Courier New" w:eastAsia="Courier New" w:cs="Courier New"/>
      </w:rPr>
    </w:lvl>
    <w:lvl w:ilvl="5">
      <w:start w:val="1"/>
      <w:numFmt w:val="bullet"/>
      <w:suff w:val="tab"/>
      <w:lvlText w:val=""/>
      <w:pPr>
        <w:spacing/>
        <w:ind w:left="4320"/>
      </w:pPr>
      <w:rPr>
        <w:rFonts w:ascii="Wingdings" w:hAnsi="Wingdings" w:eastAsia="Wingdings" w:cs="Wingdings"/>
      </w:rPr>
    </w:lvl>
    <w:lvl w:ilvl="6">
      <w:start w:val="1"/>
      <w:numFmt w:val="bullet"/>
      <w:suff w:val="tab"/>
      <w:lvlText w:val=""/>
      <w:pPr>
        <w:spacing/>
        <w:ind w:left="5040"/>
      </w:pPr>
      <w:rPr>
        <w:rFonts w:ascii="Symbol" w:hAnsi="Symbol" w:eastAsia="Symbol" w:cs="Symbol"/>
      </w:rPr>
    </w:lvl>
    <w:lvl w:ilvl="7">
      <w:start w:val="1"/>
      <w:numFmt w:val="bullet"/>
      <w:suff w:val="tab"/>
      <w:lvlText w:val="o"/>
      <w:pPr>
        <w:spacing/>
        <w:ind w:left="5760"/>
      </w:pPr>
      <w:rPr>
        <w:rFonts w:ascii="Courier New" w:hAnsi="Courier New" w:eastAsia="Courier New" w:cs="Courier New"/>
      </w:rPr>
    </w:lvl>
    <w:lvl w:ilvl="8">
      <w:start w:val="1"/>
      <w:numFmt w:val="bullet"/>
      <w:suff w:val="tab"/>
      <w:lvlText w:val=""/>
      <w:pPr>
        <w:spacing/>
        <w:ind w:left="6480"/>
      </w:pPr>
      <w:rPr>
        <w:rFonts w:ascii="Wingdings" w:hAnsi="Wingdings" w:eastAsia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clrSchemeMapping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/>
      </w:rPr>
    </w:rPrDefault>
    <w:pPrDefault/>
  </w:docDefaults>
  <w:style w:type="numbering" w:default="1" w:styleId="NoList">
    <w:name w:val="No List"/>
    <w:uiPriority w:val="99"/>
    <w:semiHidden/>
    <w:unhideWhenUsed/>
  </w:style>
  <w:style w:type="paragraph" w:styleId="Normal" w:default="1">
    <w:name w:val="Normal"/>
    <w:pPr>
      <w:spacing/>
    </w:pPr>
    <w:rPr>
      <w:rFonts w:ascii="Times New Roman" w:hAnsi="Times New Roman" w:eastAsia="Times New Roman"/>
      <w:sz w:val="24"/>
      <w:szCs w:val="24"/>
      <w:lang w:val="en-US" w:eastAsia="zh-TW" w:bidi="ar-SA"/>
    </w:rPr>
  </w:style>
  <w:style w:type="character" w:styleId="DefaultParagraphFont" w:default="1">
    <w:name w:val="Default Paragraph Font"/>
    <w:semiHidden/>
    <w:unhideWhenUsed/>
    <w:rPr/>
  </w:style>
  <w:style w:type="paragraph" w:styleId="Heading1">
    <w:name w:val="Heading 1"/>
    <w:basedOn w:val="Normal"/>
    <w:next w:val="Normal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1" Type="http://schemas.openxmlformats.org/officeDocument/2006/relationships/chart" Target="charts/chart1.xml" /></Relationships>
</file>

<file path=word/charts/_rels/chart1.xml.rels>&#65279;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Worksheet1.xlsx" /></Relationships>
</file>

<file path=word/charts/chart1.xml><?xml version="1.0" encoding="utf-8"?>
<c:chartSpace xmlns:a="http://schemas.openxmlformats.org/drawingml/2006/main" xmlns:r="http://schemas.openxmlformats.org/officeDocument/2006/relationships" xmlns:c="http://schemas.openxmlformats.org/drawingml/2006/chart">
  <c:date1904 val="0"/>
  <c:roundedCorners val="0"/>
  <c:chart>
    <c:title>
      <c:tx>
        <c:rich>
          <a:bodyPr/>
          <a:lstStyle/>
          <a:p>
            <a:pPr rtl="0">
              <a:defRPr sz="1860"/>
            </a:pPr>
            <a:r>
              <a:rPr b="1" sz="1860" baseline="0"/>
              <a:t>Documents converted per quarter (thousands)</a:t>
            </a:r>
          </a:p>
        </c:rich>
      </c:tx>
      <c:layout/>
      <c:overlay val="0"/>
      <c:spPr>
        <a:ln cap="flat">
          <a:noFill/>
          <a:round/>
        </a:ln>
      </c:spPr>
    </c:title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Europe</c:v>
                </c:pt>
              </c:strCache>
            </c:strRef>
          </c:tx>
          <c:spPr/>
          <c:invertIfNegative val="0"/>
          <c:cat>
            <c:strRef>
              <c:f>'Sheet1'!$A$2:$A$4</c:f>
              <c:strCache>
                <c:ptCount val="3"/>
                <c:pt idx="0">
                  <c:v>Q1</c:v>
                </c:pt>
                <c:pt idx="1">
                  <c:v>Q2</c:v>
                </c:pt>
                <c:pt idx="2">
                  <c:v>Q3</c:v>
                </c:pt>
              </c:strCache>
            </c:strRef>
          </c:cat>
          <c:val>
            <c:numRef>
              <c:f>'Sheet1'!$B$2:$B$4</c:f>
              <c:numCache>
                <c:formatCode>General</c:formatCode>
                <c:ptCount val="3"/>
                <c:pt idx="0">
                  <c:v>380</c:v>
                </c:pt>
                <c:pt idx="1">
                  <c:v>410</c:v>
                </c:pt>
                <c:pt idx="2">
                  <c:v>450</c:v>
                </c:pt>
              </c:numCache>
            </c:numRef>
          </c:val>
          <c:shape val="box"/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North America</c:v>
                </c:pt>
              </c:strCache>
            </c:strRef>
          </c:tx>
          <c:spPr/>
          <c:invertIfNegative val="0"/>
          <c:cat>
            <c:strRef>
              <c:f>'Sheet1'!$A$2:$A$4</c:f>
              <c:strCache>
                <c:ptCount val="3"/>
                <c:pt idx="0">
                  <c:v>Q1</c:v>
                </c:pt>
                <c:pt idx="1">
                  <c:v>Q2</c:v>
                </c:pt>
                <c:pt idx="2">
                  <c:v>Q3</c:v>
                </c:pt>
              </c:strCache>
            </c:strRef>
          </c:cat>
          <c:val>
            <c:numRef>
              <c:f>'Sheet1'!$C$2:$C$4</c:f>
              <c:numCache>
                <c:formatCode>General</c:formatCode>
                <c:ptCount val="3"/>
                <c:pt idx="0">
                  <c:v>300</c:v>
                </c:pt>
                <c:pt idx="1">
                  <c:v>330</c:v>
                </c:pt>
                <c:pt idx="2">
                  <c:v>350</c:v>
                </c:pt>
              </c:numCache>
            </c:numRef>
          </c:val>
          <c:shape val="box"/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Asia Pacific</c:v>
                </c:pt>
              </c:strCache>
            </c:strRef>
          </c:tx>
          <c:spPr/>
          <c:invertIfNegative val="0"/>
          <c:cat>
            <c:strRef>
              <c:f>'Sheet1'!$A$2:$A$4</c:f>
              <c:strCache>
                <c:ptCount val="3"/>
                <c:pt idx="0">
                  <c:v>Q1</c:v>
                </c:pt>
                <c:pt idx="1">
                  <c:v>Q2</c:v>
                </c:pt>
                <c:pt idx="2">
                  <c:v>Q3</c:v>
                </c:pt>
              </c:strCache>
            </c:strRef>
          </c:cat>
          <c:val>
            <c:numRef>
              <c:f>'Sheet1'!$D$2:$D$4</c:f>
              <c:numCache>
                <c:formatCode>General</c:formatCode>
                <c:ptCount val="3"/>
                <c:pt idx="0">
                  <c:v>170</c:v>
                </c:pt>
                <c:pt idx="1">
                  <c:v>205</c:v>
                </c:pt>
                <c:pt idx="2">
                  <c:v>240</c:v>
                </c:pt>
              </c:numCache>
            </c:numRef>
          </c:val>
          <c:shape val="box"/>
        </c:ser>
        <c:gapWidth val="150"/>
        <c:axId val="59983360"/>
        <c:axId val="57253888"/>
      </c:barChart>
      <c:catAx>
        <c:axId val="59983360"/>
        <c:scaling>
          <c:orientation val="minMax"/>
        </c:scaling>
        <c:delete val="0"/>
        <c:axPos val="b"/>
        <c:majorTickMark val="out"/>
        <c:minorTickMark val="none"/>
        <c:tickLblPos val="nextTo"/>
        <c:crossAx val="57253888"/>
        <c:crosses val="autoZero"/>
        <c:auto val="1"/>
        <c:lblAlgn val="ctr"/>
        <c:lblOffset val="100"/>
        <c:noMultiLvlLbl val="0"/>
      </c:catAx>
      <c:valAx>
        <c:axId val="57253888"/>
        <c:scaling>
          <c:orientation val="minMax"/>
        </c:scaling>
        <c:delete val="0"/>
        <c:axPos val="l"/>
        <c:majorGridlines/>
        <c:majorTickMark val="out"/>
        <c:minorTickMark val="none"/>
        <c:tickLblPos val="nextTo"/>
        <c:crossAx val="59983360"/>
        <c:crosses val="autoZero"/>
        <c:crossBetween val="between"/>
      </c:valAx>
      <c:spPr>
        <a:solidFill>
          <a:srgbClr val="FFFFFF"/>
        </a:solidFill>
        <a:ln cap="flat">
          <a:noFill/>
          <a:round/>
        </a:ln>
      </c:spPr>
    </c:plotArea>
    <c:legend>
      <c:legendPos val="b"/>
      <c:layout/>
      <c:overlay val="0"/>
      <c:spPr/>
    </c:legend>
    <c:plotVisOnly val="1"/>
    <c:dispBlanksAs val="gap"/>
  </c:chart>
  <c:spPr>
    <a:solidFill>
      <a:srgbClr val="FFFFFF"/>
    </a:solidFill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2026-09-28T07:13:22Z</dcterms:created>
  <dcterms:modified xsi:type="dcterms:W3CDTF">2026-09-28T07:13:22Z</dcterms:modified>
</cp:coreProperties>
</file>